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7EF9" w14:textId="77777777" w:rsidR="007A7F76" w:rsidRDefault="007A7F76" w:rsidP="007A7F76">
      <w:pPr>
        <w:pStyle w:val="Head1"/>
        <w:widowControl w:val="0"/>
        <w:rPr>
          <w:sz w:val="35"/>
          <w:szCs w:val="35"/>
          <w14:ligatures w14:val="none"/>
        </w:rPr>
      </w:pPr>
      <w:r>
        <w:rPr>
          <w:i/>
          <w:iCs/>
          <w:sz w:val="32"/>
          <w:szCs w:val="32"/>
          <w14:ligatures w14:val="none"/>
        </w:rPr>
        <w:t xml:space="preserve">IHCP COVID-19 Response: </w:t>
      </w:r>
      <w:r>
        <w:rPr>
          <w:sz w:val="35"/>
          <w:szCs w:val="35"/>
          <w14:ligatures w14:val="none"/>
        </w:rPr>
        <w:t xml:space="preserve">Reimbursement temporarily increased for </w:t>
      </w:r>
      <w:r>
        <w:rPr>
          <w:i/>
          <w:iCs/>
          <w:sz w:val="35"/>
          <w:szCs w:val="35"/>
          <w14:ligatures w14:val="none"/>
        </w:rPr>
        <w:t>COVID-19 Ready</w:t>
      </w:r>
      <w:r>
        <w:rPr>
          <w:sz w:val="35"/>
          <w:szCs w:val="35"/>
          <w14:ligatures w14:val="none"/>
        </w:rPr>
        <w:t xml:space="preserve"> nursing facilities</w:t>
      </w:r>
    </w:p>
    <w:p w14:paraId="79CDD565" w14:textId="77777777" w:rsidR="007A7F76" w:rsidRDefault="007A7F76" w:rsidP="007A7F76">
      <w:pPr>
        <w:pStyle w:val="BodyText1"/>
        <w:widowControl w:val="0"/>
        <w:rPr>
          <w14:ligatures w14:val="none"/>
        </w:rPr>
      </w:pPr>
      <w:r>
        <w:rPr>
          <w14:ligatures w14:val="none"/>
        </w:rPr>
        <w:t xml:space="preserve">In response to the current coronavirus disease 2019 (COVID-19) Delta variant surge and the need to ease the stress on hospitals by ensuring placement options for stable COVID-19 patients who are ready for transfer, the Indiana Health Coverage Programs (IHCP) is implementing a temporary 4% increase in Medicaid reimbursement rates for Indiana nursing facilities that attest to being </w:t>
      </w:r>
      <w:r>
        <w:rPr>
          <w:i/>
          <w:iCs/>
          <w14:ligatures w14:val="none"/>
        </w:rPr>
        <w:t>COVID-19 Ready</w:t>
      </w:r>
      <w:r>
        <w:rPr>
          <w14:ligatures w14:val="none"/>
        </w:rPr>
        <w:t xml:space="preserve"> based on the requirements outlined in this bulletin.</w:t>
      </w:r>
    </w:p>
    <w:p w14:paraId="688073B5" w14:textId="77777777" w:rsidR="007A7F76" w:rsidRDefault="007A7F76" w:rsidP="007A7F76">
      <w:pPr>
        <w:pStyle w:val="BodyText1"/>
        <w:widowControl w:val="0"/>
        <w:rPr>
          <w14:ligatures w14:val="none"/>
        </w:rPr>
      </w:pPr>
      <w:r>
        <w:rPr>
          <w14:ligatures w14:val="none"/>
        </w:rPr>
        <w:t xml:space="preserve">Providers that attest to being </w:t>
      </w:r>
      <w:r>
        <w:rPr>
          <w:i/>
          <w:iCs/>
          <w14:ligatures w14:val="none"/>
        </w:rPr>
        <w:t>COVID-19 Ready</w:t>
      </w:r>
      <w:r>
        <w:rPr>
          <w14:ligatures w14:val="none"/>
        </w:rPr>
        <w:t xml:space="preserve"> will also be eligible for a temporary $230 per resident daily add-on for each COVID-19 positive resident.</w:t>
      </w:r>
      <w:r>
        <w:rPr>
          <w:color w:val="333333"/>
          <w14:ligatures w14:val="none"/>
        </w:rPr>
        <w:t xml:space="preserve"> The $230 per resident daily add-on is limited to up to 21 days per resident.</w:t>
      </w:r>
      <w:r>
        <w:rPr>
          <w14:ligatures w14:val="none"/>
        </w:rPr>
        <w:t xml:space="preserve"> </w:t>
      </w:r>
    </w:p>
    <w:p w14:paraId="22E3D5E0" w14:textId="77777777" w:rsidR="007A7F76" w:rsidRDefault="007A7F76" w:rsidP="007A7F76">
      <w:pPr>
        <w:pStyle w:val="BodyText1"/>
        <w:widowControl w:val="0"/>
        <w:rPr>
          <w14:ligatures w14:val="none"/>
        </w:rPr>
      </w:pPr>
      <w:r>
        <w:rPr>
          <w14:ligatures w14:val="none"/>
        </w:rPr>
        <w:t xml:space="preserve">A future publication will announce when providers </w:t>
      </w:r>
      <w:proofErr w:type="gramStart"/>
      <w:r>
        <w:rPr>
          <w14:ligatures w14:val="none"/>
        </w:rPr>
        <w:t>will start</w:t>
      </w:r>
      <w:proofErr w:type="gramEnd"/>
      <w:r>
        <w:rPr>
          <w14:ligatures w14:val="none"/>
        </w:rPr>
        <w:t xml:space="preserve"> seeing the additional reimbursement.</w:t>
      </w:r>
    </w:p>
    <w:p w14:paraId="1990B42A" w14:textId="77777777" w:rsidR="007A7F76" w:rsidRDefault="007A7F76" w:rsidP="007A7F76">
      <w:pPr>
        <w:pStyle w:val="Subhead2"/>
        <w:widowControl w:val="0"/>
        <w:rPr>
          <w14:ligatures w14:val="none"/>
        </w:rPr>
      </w:pPr>
      <w:r>
        <w:rPr>
          <w14:ligatures w14:val="none"/>
        </w:rPr>
        <w:t>COVID-19 Ready 4% increase</w:t>
      </w:r>
    </w:p>
    <w:p w14:paraId="5F5C752A" w14:textId="77777777" w:rsidR="007A7F76" w:rsidRDefault="007A7F76" w:rsidP="007A7F76">
      <w:pPr>
        <w:pStyle w:val="BodyText1"/>
        <w:widowControl w:val="0"/>
        <w:rPr>
          <w14:ligatures w14:val="none"/>
        </w:rPr>
      </w:pPr>
      <w:r>
        <w:rPr>
          <w14:ligatures w14:val="none"/>
        </w:rPr>
        <w:t xml:space="preserve">To qualify for the temporary 4% rate increase, nursing facilities will need to follow, and attest to the Indiana Department of Health (IDOH) </w:t>
      </w:r>
      <w:r>
        <w:rPr>
          <w:i/>
          <w:iCs/>
          <w14:ligatures w14:val="none"/>
        </w:rPr>
        <w:t>COVID-19 Ready</w:t>
      </w:r>
      <w:r>
        <w:rPr>
          <w14:ligatures w14:val="none"/>
        </w:rPr>
        <w:t xml:space="preserve"> requirements:</w:t>
      </w:r>
    </w:p>
    <w:p w14:paraId="7907B827" w14:textId="77777777" w:rsidR="007A7F76" w:rsidRDefault="007A7F76" w:rsidP="007A7F76">
      <w:pPr>
        <w:pStyle w:val="Bullets"/>
        <w:widowControl w:val="0"/>
        <w:rPr>
          <w14:ligatures w14:val="none"/>
        </w:rPr>
      </w:pPr>
      <w:r>
        <w:rPr>
          <w:rFonts w:ascii="Wingdings" w:hAnsi="Wingdings"/>
          <w:sz w:val="17"/>
          <w:szCs w:val="17"/>
          <w:lang w:val="x-none"/>
        </w:rPr>
        <w:t>n</w:t>
      </w:r>
      <w:r>
        <w:t> </w:t>
      </w:r>
      <w:r>
        <w:rPr>
          <w14:ligatures w14:val="none"/>
        </w:rPr>
        <w:t xml:space="preserve">Follow IDOH COVID-19 Long-Term Care (LTC) Standard Operating Procedures and IDOH COVID-19 Infection Prevention (IP) Toolkit, located on the </w:t>
      </w:r>
      <w:hyperlink r:id="rId5" w:history="1">
        <w:r>
          <w:rPr>
            <w:rStyle w:val="Hyperlink"/>
            <w:i/>
            <w:iCs/>
            <w14:ligatures w14:val="none"/>
          </w:rPr>
          <w:t>Professional Resources</w:t>
        </w:r>
      </w:hyperlink>
      <w:r>
        <w:rPr>
          <w14:ligatures w14:val="none"/>
        </w:rPr>
        <w:t xml:space="preserve"> page at coronavirus.in.gov.</w:t>
      </w:r>
    </w:p>
    <w:p w14:paraId="38309F96" w14:textId="77777777" w:rsidR="007A7F76" w:rsidRDefault="007A7F76" w:rsidP="007A7F76">
      <w:pPr>
        <w:pStyle w:val="Bullets"/>
        <w:widowControl w:val="0"/>
        <w:rPr>
          <w14:ligatures w14:val="none"/>
        </w:rPr>
      </w:pPr>
      <w:r>
        <w:rPr>
          <w:rFonts w:ascii="Wingdings" w:hAnsi="Wingdings"/>
          <w:sz w:val="17"/>
          <w:szCs w:val="17"/>
          <w:lang w:val="x-none"/>
        </w:rPr>
        <w:t>n</w:t>
      </w:r>
      <w:r>
        <w:t> </w:t>
      </w:r>
      <w:r>
        <w:rPr>
          <w14:ligatures w14:val="none"/>
        </w:rPr>
        <w:t>Follow IDOH LTC hospital transfer guidance or have developed a mutually agreed upon plan with local hospitals for admission and readmission of COVID-19 patients.</w:t>
      </w:r>
    </w:p>
    <w:p w14:paraId="3C671B3A" w14:textId="77777777" w:rsidR="007A7F76" w:rsidRDefault="007A7F76" w:rsidP="007A7F76">
      <w:pPr>
        <w:pStyle w:val="Bullets"/>
        <w:widowControl w:val="0"/>
        <w:rPr>
          <w14:ligatures w14:val="none"/>
        </w:rPr>
      </w:pPr>
      <w:r>
        <w:rPr>
          <w:rFonts w:ascii="Wingdings" w:hAnsi="Wingdings"/>
          <w:sz w:val="17"/>
          <w:szCs w:val="17"/>
          <w:lang w:val="x-none"/>
        </w:rPr>
        <w:t>n</w:t>
      </w:r>
      <w:r>
        <w:t> </w:t>
      </w:r>
      <w:r>
        <w:rPr>
          <w14:ligatures w14:val="none"/>
        </w:rPr>
        <w:t>Follow IDOH, Centers for Medicare &amp; Medicaid Services (CMS), and Centers for Disease Control and Prevention (CDC) communication guidelines.</w:t>
      </w:r>
    </w:p>
    <w:p w14:paraId="5A8C62D3" w14:textId="77777777" w:rsidR="007A7F76" w:rsidRDefault="007A7F76" w:rsidP="007A7F76">
      <w:pPr>
        <w:pStyle w:val="Bullets"/>
        <w:widowControl w:val="0"/>
        <w:rPr>
          <w14:ligatures w14:val="none"/>
        </w:rPr>
      </w:pPr>
      <w:r>
        <w:rPr>
          <w:rFonts w:ascii="Wingdings" w:hAnsi="Wingdings"/>
          <w:sz w:val="17"/>
          <w:szCs w:val="17"/>
          <w:lang w:val="x-none"/>
        </w:rPr>
        <w:t>n</w:t>
      </w:r>
      <w:r>
        <w:t> </w:t>
      </w:r>
      <w:r>
        <w:rPr>
          <w14:ligatures w14:val="none"/>
        </w:rPr>
        <w:t xml:space="preserve">Accept COVID-19 new admissions, readmissions and transfers. </w:t>
      </w:r>
    </w:p>
    <w:p w14:paraId="56B821ED" w14:textId="77777777" w:rsidR="007A7F76" w:rsidRDefault="007A7F76" w:rsidP="007A7F76">
      <w:pPr>
        <w:pStyle w:val="Bullets"/>
        <w:widowControl w:val="0"/>
        <w:rPr>
          <w14:ligatures w14:val="none"/>
        </w:rPr>
      </w:pPr>
      <w:r>
        <w:rPr>
          <w:rFonts w:ascii="Wingdings" w:hAnsi="Wingdings"/>
          <w:sz w:val="17"/>
          <w:szCs w:val="17"/>
          <w:lang w:val="x-none"/>
        </w:rPr>
        <w:t>n</w:t>
      </w:r>
      <w:r>
        <w:t> </w:t>
      </w:r>
      <w:r>
        <w:rPr>
          <w14:ligatures w14:val="none"/>
        </w:rPr>
        <w:t>Share complete COVID-19 status information with transportation providers serving residents.</w:t>
      </w:r>
    </w:p>
    <w:p w14:paraId="70FA62CD" w14:textId="77777777" w:rsidR="007A7F76" w:rsidRDefault="007A7F76" w:rsidP="007A7F76">
      <w:pPr>
        <w:pStyle w:val="Bullets"/>
        <w:widowControl w:val="0"/>
        <w:rPr>
          <w14:ligatures w14:val="none"/>
        </w:rPr>
      </w:pPr>
      <w:r>
        <w:rPr>
          <w:rFonts w:ascii="Wingdings" w:hAnsi="Wingdings"/>
          <w:sz w:val="17"/>
          <w:szCs w:val="17"/>
          <w:lang w:val="x-none"/>
        </w:rPr>
        <w:t>n</w:t>
      </w:r>
      <w:r>
        <w:t> </w:t>
      </w:r>
      <w:r>
        <w:rPr>
          <w14:ligatures w14:val="none"/>
        </w:rPr>
        <w:t>Follow IDOH, CMS and CDC reporting requirements for new COVID-19 cases and deaths involving residents and staff.</w:t>
      </w:r>
    </w:p>
    <w:p w14:paraId="50AD4D48" w14:textId="77777777" w:rsidR="007A7F76" w:rsidRDefault="007A7F76" w:rsidP="007A7F76">
      <w:pPr>
        <w:pStyle w:val="Bullets"/>
        <w:widowControl w:val="0"/>
        <w:rPr>
          <w14:ligatures w14:val="none"/>
        </w:rPr>
      </w:pPr>
      <w:r>
        <w:rPr>
          <w:rFonts w:ascii="Wingdings" w:hAnsi="Wingdings"/>
          <w:sz w:val="17"/>
          <w:szCs w:val="17"/>
          <w:lang w:val="x-none"/>
        </w:rPr>
        <w:t>n</w:t>
      </w:r>
      <w:r>
        <w:t> </w:t>
      </w:r>
      <w:r>
        <w:rPr>
          <w14:ligatures w14:val="none"/>
        </w:rPr>
        <w:t xml:space="preserve">Provide daily updates of COVID-19 bed capacity and changes in admission status (for example, admissions hold) in the </w:t>
      </w:r>
      <w:hyperlink r:id="rId6" w:history="1">
        <w:proofErr w:type="spellStart"/>
        <w:r>
          <w:rPr>
            <w:rStyle w:val="Hyperlink"/>
            <w14:ligatures w14:val="none"/>
          </w:rPr>
          <w:t>EMResource</w:t>
        </w:r>
        <w:proofErr w:type="spellEnd"/>
      </w:hyperlink>
      <w:r>
        <w:rPr>
          <w14:ligatures w14:val="none"/>
        </w:rPr>
        <w:t xml:space="preserve"> system at emresource.juvare.com.</w:t>
      </w:r>
    </w:p>
    <w:p w14:paraId="237A91E8" w14:textId="77777777" w:rsidR="007A7F76" w:rsidRDefault="007A7F76" w:rsidP="007A7F76">
      <w:pPr>
        <w:pStyle w:val="BodyText1"/>
        <w:widowControl w:val="0"/>
        <w:rPr>
          <w14:ligatures w14:val="none"/>
        </w:rPr>
      </w:pPr>
      <w:r>
        <w:rPr>
          <w14:ligatures w14:val="none"/>
        </w:rPr>
        <w:t>This temporary 4% rate increase will be calculated based on each facility’s standard rates.</w:t>
      </w:r>
    </w:p>
    <w:p w14:paraId="303C4773" w14:textId="77777777" w:rsidR="007A7F76" w:rsidRDefault="007A7F76" w:rsidP="007A7F7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55578AE7" w14:textId="77777777" w:rsidR="007A7F76" w:rsidRDefault="007A7F76" w:rsidP="007A7F76">
      <w:pPr>
        <w:pStyle w:val="Subhead2"/>
        <w:widowControl w:val="0"/>
        <w:rPr>
          <w14:ligatures w14:val="none"/>
        </w:rPr>
      </w:pPr>
      <w:r>
        <w:rPr>
          <w14:ligatures w14:val="none"/>
        </w:rPr>
        <w:t>COVID-19 $230 per resident add-on</w:t>
      </w:r>
    </w:p>
    <w:p w14:paraId="1A78B2A3" w14:textId="77777777" w:rsidR="007A7F76" w:rsidRDefault="007A7F76" w:rsidP="007A7F76">
      <w:pPr>
        <w:pStyle w:val="BodyText1"/>
        <w:widowControl w:val="0"/>
        <w:rPr>
          <w14:ligatures w14:val="none"/>
        </w:rPr>
      </w:pPr>
      <w:r>
        <w:rPr>
          <w14:ligatures w14:val="none"/>
        </w:rPr>
        <w:t xml:space="preserve">To qualify for the temporary $230 per patient daily add-on, the facility must complete both of the following requirements: </w:t>
      </w:r>
    </w:p>
    <w:p w14:paraId="2369CE37" w14:textId="77777777" w:rsidR="007A7F76" w:rsidRDefault="007A7F76" w:rsidP="007A7F76">
      <w:pPr>
        <w:pStyle w:val="Bullets"/>
        <w:widowControl w:val="0"/>
        <w:rPr>
          <w:color w:val="333333"/>
          <w14:ligatures w14:val="none"/>
        </w:rPr>
      </w:pPr>
      <w:r>
        <w:rPr>
          <w:rFonts w:ascii="Wingdings" w:hAnsi="Wingdings"/>
          <w:sz w:val="17"/>
          <w:szCs w:val="17"/>
          <w:lang w:val="x-none"/>
        </w:rPr>
        <w:t>n</w:t>
      </w:r>
      <w:r>
        <w:t> </w:t>
      </w:r>
      <w:r>
        <w:rPr>
          <w14:ligatures w14:val="none"/>
        </w:rPr>
        <w:t xml:space="preserve">Submit an attestation and comply </w:t>
      </w:r>
      <w:r>
        <w:rPr>
          <w:color w:val="333333"/>
          <w14:ligatures w14:val="none"/>
        </w:rPr>
        <w:t xml:space="preserve">with IDOH requirements for a </w:t>
      </w:r>
      <w:r>
        <w:rPr>
          <w:i/>
          <w:iCs/>
          <w:color w:val="333333"/>
          <w14:ligatures w14:val="none"/>
        </w:rPr>
        <w:t>COVID-19 Ready</w:t>
      </w:r>
      <w:r>
        <w:rPr>
          <w:color w:val="333333"/>
          <w14:ligatures w14:val="none"/>
        </w:rPr>
        <w:t xml:space="preserve"> facility (as described in the previous section). </w:t>
      </w:r>
    </w:p>
    <w:p w14:paraId="2D18D3E5" w14:textId="77777777" w:rsidR="007A7F76" w:rsidRDefault="007A7F76" w:rsidP="007A7F76">
      <w:pPr>
        <w:pStyle w:val="Bullets"/>
        <w:widowControl w:val="0"/>
        <w:rPr>
          <w14:ligatures w14:val="none"/>
        </w:rPr>
      </w:pPr>
      <w:r>
        <w:rPr>
          <w:rFonts w:ascii="Wingdings" w:hAnsi="Wingdings"/>
          <w:sz w:val="17"/>
          <w:szCs w:val="17"/>
          <w:lang w:val="x-none"/>
        </w:rPr>
        <w:t>n</w:t>
      </w:r>
      <w:r>
        <w:t> </w:t>
      </w:r>
      <w:r>
        <w:rPr>
          <w:color w:val="333333"/>
          <w14:ligatures w14:val="none"/>
        </w:rPr>
        <w:t xml:space="preserve">Bill claims </w:t>
      </w:r>
      <w:r>
        <w:rPr>
          <w14:ligatures w14:val="none"/>
        </w:rPr>
        <w:t>for</w:t>
      </w:r>
      <w:r>
        <w:rPr>
          <w:color w:val="333333"/>
          <w14:ligatures w14:val="none"/>
        </w:rPr>
        <w:t xml:space="preserve"> COVID-19 positive residents with the primary diagnosis code of </w:t>
      </w:r>
      <w:r>
        <w:rPr>
          <w14:ligatures w14:val="none"/>
        </w:rPr>
        <w:t xml:space="preserve">U07.1 – </w:t>
      </w:r>
      <w:r>
        <w:rPr>
          <w:i/>
          <w:iCs/>
          <w14:ligatures w14:val="none"/>
        </w:rPr>
        <w:t>COVID-19 positive</w:t>
      </w:r>
      <w:r>
        <w:rPr>
          <w:color w:val="333333"/>
          <w14:ligatures w14:val="none"/>
        </w:rPr>
        <w:t>.</w:t>
      </w:r>
    </w:p>
    <w:p w14:paraId="2C85CFB6" w14:textId="77777777" w:rsidR="007A7F76" w:rsidRDefault="007A7F76" w:rsidP="007A7F76">
      <w:pPr>
        <w:pStyle w:val="BodyText1"/>
        <w:widowControl w:val="0"/>
        <w:rPr>
          <w14:ligatures w14:val="none"/>
        </w:rPr>
      </w:pPr>
      <w:r>
        <w:rPr>
          <w14:ligatures w14:val="none"/>
        </w:rPr>
        <w:t>Qualified providers will be paid the temporary $230 per resident add-on for the full 21 days from the initial positive diagnosis if the following statements are true:</w:t>
      </w:r>
    </w:p>
    <w:p w14:paraId="247E3297" w14:textId="77777777" w:rsidR="007A7F76" w:rsidRDefault="007A7F76" w:rsidP="007A7F76">
      <w:pPr>
        <w:pStyle w:val="Bullets"/>
        <w:widowControl w:val="0"/>
        <w:rPr>
          <w14:ligatures w14:val="none"/>
        </w:rPr>
      </w:pPr>
      <w:r>
        <w:rPr>
          <w:rFonts w:ascii="Wingdings" w:hAnsi="Wingdings"/>
          <w:sz w:val="17"/>
          <w:szCs w:val="17"/>
          <w:lang w:val="x-none"/>
        </w:rPr>
        <w:lastRenderedPageBreak/>
        <w:t>n</w:t>
      </w:r>
      <w:r>
        <w:t> </w:t>
      </w:r>
      <w:r>
        <w:rPr>
          <w14:ligatures w14:val="none"/>
        </w:rPr>
        <w:t xml:space="preserve">The resident is in a </w:t>
      </w:r>
      <w:r>
        <w:rPr>
          <w:i/>
          <w:iCs/>
          <w14:ligatures w14:val="none"/>
        </w:rPr>
        <w:t>COVID-19 Ready</w:t>
      </w:r>
      <w:r>
        <w:rPr>
          <w14:ligatures w14:val="none"/>
        </w:rPr>
        <w:t xml:space="preserve"> facility.</w:t>
      </w:r>
    </w:p>
    <w:p w14:paraId="18678A8C" w14:textId="77777777" w:rsidR="007A7F76" w:rsidRDefault="007A7F76" w:rsidP="007A7F76">
      <w:pPr>
        <w:pStyle w:val="Bullets"/>
        <w:widowControl w:val="0"/>
        <w:rPr>
          <w14:ligatures w14:val="none"/>
        </w:rPr>
      </w:pPr>
      <w:r>
        <w:rPr>
          <w:rFonts w:ascii="Wingdings" w:hAnsi="Wingdings"/>
          <w:sz w:val="17"/>
          <w:szCs w:val="17"/>
          <w:lang w:val="x-none"/>
        </w:rPr>
        <w:t>n</w:t>
      </w:r>
      <w:r>
        <w:t> </w:t>
      </w:r>
      <w:r>
        <w:rPr>
          <w14:ligatures w14:val="none"/>
        </w:rPr>
        <w:t>The resident is COVID-19 positive between Sept. 20, 2021, and Oct. 16, 2021.</w:t>
      </w:r>
    </w:p>
    <w:p w14:paraId="573ADF78" w14:textId="77777777" w:rsidR="007A7F76" w:rsidRDefault="007A7F76" w:rsidP="007A7F76">
      <w:pPr>
        <w:pStyle w:val="Bullets"/>
        <w:widowControl w:val="0"/>
        <w:rPr>
          <w14:ligatures w14:val="none"/>
        </w:rPr>
      </w:pPr>
      <w:r>
        <w:rPr>
          <w:rFonts w:ascii="Wingdings" w:hAnsi="Wingdings"/>
          <w:sz w:val="17"/>
          <w:szCs w:val="17"/>
          <w:lang w:val="x-none"/>
        </w:rPr>
        <w:t>n</w:t>
      </w:r>
      <w:r>
        <w:t> </w:t>
      </w:r>
      <w:r>
        <w:rPr>
          <w14:ligatures w14:val="none"/>
        </w:rPr>
        <w:t>Claims had U07.1 as the primary diagnosis.</w:t>
      </w:r>
    </w:p>
    <w:p w14:paraId="089BEACB" w14:textId="77777777" w:rsidR="007A7F76" w:rsidRDefault="007A7F76" w:rsidP="007A7F76">
      <w:pPr>
        <w:pStyle w:val="Bullets"/>
        <w:widowControl w:val="0"/>
        <w:rPr>
          <w:color w:val="333333"/>
          <w14:ligatures w14:val="none"/>
        </w:rPr>
      </w:pPr>
      <w:r>
        <w:rPr>
          <w:rFonts w:ascii="Wingdings" w:hAnsi="Wingdings"/>
          <w:sz w:val="17"/>
          <w:szCs w:val="17"/>
          <w:lang w:val="x-none"/>
        </w:rPr>
        <w:t>n</w:t>
      </w:r>
      <w:r>
        <w:t> </w:t>
      </w:r>
      <w:r>
        <w:rPr>
          <w14:ligatures w14:val="none"/>
        </w:rPr>
        <w:t>The resident was not discharged prior to the 21 days for any reason, including death, transfer to another facility or being sent home.</w:t>
      </w:r>
    </w:p>
    <w:p w14:paraId="608B2C4F" w14:textId="77777777" w:rsidR="007A7F76" w:rsidRDefault="007A7F76" w:rsidP="007A7F76">
      <w:pPr>
        <w:pStyle w:val="Subhead2"/>
        <w:widowControl w:val="0"/>
        <w:rPr>
          <w:sz w:val="22"/>
          <w:szCs w:val="22"/>
          <w14:ligatures w14:val="none"/>
        </w:rPr>
      </w:pPr>
      <w:r>
        <w:rPr>
          <w14:ligatures w14:val="none"/>
        </w:rPr>
        <w:t>Effective dates</w:t>
      </w:r>
    </w:p>
    <w:p w14:paraId="562FC63D" w14:textId="77777777" w:rsidR="007A7F76" w:rsidRDefault="007A7F76" w:rsidP="007A7F76">
      <w:pPr>
        <w:pStyle w:val="BodyText1"/>
        <w:widowControl w:val="0"/>
        <w:rPr>
          <w14:ligatures w14:val="none"/>
        </w:rPr>
      </w:pPr>
      <w:r>
        <w:rPr>
          <w14:ligatures w14:val="none"/>
        </w:rPr>
        <w:t>The temporary 4% increase is available for qualifying providers for dates of service beginning Sept. 20, 2021, through Oct. 16, 2021.</w:t>
      </w:r>
    </w:p>
    <w:p w14:paraId="01D4EF73" w14:textId="43648134" w:rsidR="007A7F76" w:rsidRDefault="007A7F76" w:rsidP="007A7F76">
      <w:pPr>
        <w:pStyle w:val="BodyText1"/>
        <w:widowControl w:val="0"/>
        <w:rPr>
          <w14:ligatures w14:val="none"/>
        </w:rPr>
      </w:pPr>
      <w:r>
        <w:rPr>
          <w14:ligatures w14:val="none"/>
        </w:rPr>
        <w:t>The temporary $230 per patient per day add-on is available to qualifying providers for dates of service beginning Sept. 20, 2021, and extending for up to 21 days, for residents that are COVID-19 positive between Sept. 20, 2021, and Oct. 16, 2021.</w:t>
      </w:r>
      <w:r w:rsidR="00995FD8">
        <w:rPr>
          <w14:ligatures w14:val="none"/>
        </w:rPr>
        <w:t xml:space="preserve">  </w:t>
      </w:r>
    </w:p>
    <w:p w14:paraId="0603E41C" w14:textId="77777777" w:rsidR="00830087" w:rsidRDefault="00830087" w:rsidP="0083008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510827A9" w14:textId="5E52C9AE" w:rsidR="00830087" w:rsidRPr="00830087" w:rsidRDefault="00830087" w:rsidP="00830087">
      <w:pPr>
        <w:spacing w:line="360" w:lineRule="auto"/>
        <w:rPr>
          <w:rFonts w:ascii="Arial" w:hAnsi="Arial" w:cs="Arial"/>
          <w:b/>
          <w:bCs/>
          <w:i/>
          <w:iCs/>
          <w:color w:val="auto"/>
          <w:kern w:val="0"/>
          <w:sz w:val="18"/>
          <w:szCs w:val="18"/>
          <w14:ligatures w14:val="none"/>
          <w14:cntxtAlts w14:val="0"/>
        </w:rPr>
      </w:pPr>
      <w:r w:rsidRPr="00830087">
        <w:rPr>
          <w:rFonts w:ascii="Arial" w:hAnsi="Arial" w:cs="Arial"/>
          <w:b/>
          <w:bCs/>
          <w:i/>
          <w:iCs/>
          <w:sz w:val="18"/>
          <w:szCs w:val="18"/>
        </w:rPr>
        <w:t>Providers that attest to being COVID-19 Ready prior to October 1 will receive the add-on effective September 20. Providers who attest October 1st and beyond, will receive the add-on effective with the attestation date.</w:t>
      </w:r>
    </w:p>
    <w:p w14:paraId="60F2C7B9" w14:textId="08E1946F" w:rsidR="007A7F76" w:rsidRDefault="007A7F76" w:rsidP="007A7F76">
      <w:pPr>
        <w:pStyle w:val="Subhead2"/>
        <w:widowControl w:val="0"/>
        <w:rPr>
          <w14:ligatures w14:val="none"/>
        </w:rPr>
      </w:pPr>
      <w:r>
        <w:rPr>
          <w14:ligatures w14:val="none"/>
        </w:rPr>
        <w:t>Attestation process</w:t>
      </w:r>
    </w:p>
    <w:p w14:paraId="5CE4DFD8" w14:textId="77777777" w:rsidR="007A7F76" w:rsidRDefault="007A7F76" w:rsidP="007A7F76">
      <w:pPr>
        <w:pStyle w:val="BodyText1"/>
        <w:widowControl w:val="0"/>
        <w:rPr>
          <w14:ligatures w14:val="none"/>
        </w:rPr>
      </w:pPr>
      <w:r>
        <w:rPr>
          <w14:ligatures w14:val="none"/>
        </w:rPr>
        <w:t xml:space="preserve">Nursing facility providers that are </w:t>
      </w:r>
      <w:r>
        <w:rPr>
          <w:i/>
          <w:iCs/>
          <w14:ligatures w14:val="none"/>
        </w:rPr>
        <w:t>COVID-19 Ready</w:t>
      </w:r>
      <w:r>
        <w:rPr>
          <w14:ligatures w14:val="none"/>
        </w:rPr>
        <w:t xml:space="preserve"> must:</w:t>
      </w:r>
    </w:p>
    <w:p w14:paraId="536C57EE" w14:textId="77777777" w:rsidR="007A7F76" w:rsidRDefault="007A7F76" w:rsidP="007A7F76">
      <w:pPr>
        <w:pStyle w:val="Bullets"/>
        <w:widowControl w:val="0"/>
        <w:rPr>
          <w14:ligatures w14:val="none"/>
        </w:rPr>
      </w:pPr>
      <w:r>
        <w:rPr>
          <w:rFonts w:ascii="Wingdings" w:hAnsi="Wingdings"/>
          <w:sz w:val="17"/>
          <w:szCs w:val="17"/>
          <w:lang w:val="x-none"/>
        </w:rPr>
        <w:t>n</w:t>
      </w:r>
      <w:r>
        <w:t> </w:t>
      </w:r>
      <w:r>
        <w:rPr>
          <w14:ligatures w14:val="none"/>
        </w:rPr>
        <w:t xml:space="preserve">Complete and sign the </w:t>
      </w:r>
      <w:r>
        <w:rPr>
          <w:i/>
          <w:iCs/>
          <w14:ligatures w14:val="none"/>
        </w:rPr>
        <w:t>Attestation Statement – COVID-19 Ready Providers</w:t>
      </w:r>
      <w:r>
        <w:rPr>
          <w14:ligatures w14:val="none"/>
        </w:rPr>
        <w:t xml:space="preserve"> located on the Myers and Stauffer website and email it to </w:t>
      </w:r>
      <w:hyperlink r:id="rId7" w:history="1">
        <w:r>
          <w:rPr>
            <w:rStyle w:val="Hyperlink"/>
            <w14:ligatures w14:val="none"/>
          </w:rPr>
          <w:t>Derris.Harrison@fssa.in.gov</w:t>
        </w:r>
      </w:hyperlink>
      <w:r>
        <w:rPr>
          <w14:ligatures w14:val="none"/>
        </w:rPr>
        <w:t>.</w:t>
      </w:r>
    </w:p>
    <w:p w14:paraId="7E7625F7" w14:textId="77777777" w:rsidR="007A7F76" w:rsidRDefault="007A7F76" w:rsidP="007A7F76">
      <w:pPr>
        <w:pStyle w:val="Bullets"/>
        <w:widowControl w:val="0"/>
        <w:rPr>
          <w14:ligatures w14:val="none"/>
        </w:rPr>
      </w:pPr>
      <w:r>
        <w:rPr>
          <w:rFonts w:ascii="Wingdings" w:hAnsi="Wingdings"/>
          <w:sz w:val="17"/>
          <w:szCs w:val="17"/>
          <w:lang w:val="x-none"/>
        </w:rPr>
        <w:t>n</w:t>
      </w:r>
      <w:r>
        <w:t> </w:t>
      </w:r>
      <w:r>
        <w:rPr>
          <w14:ligatures w14:val="none"/>
        </w:rPr>
        <w:t xml:space="preserve">Update their </w:t>
      </w:r>
      <w:r>
        <w:rPr>
          <w:i/>
          <w:iCs/>
          <w14:ligatures w14:val="none"/>
        </w:rPr>
        <w:t>COVID-19 Ready</w:t>
      </w:r>
      <w:r>
        <w:rPr>
          <w14:ligatures w14:val="none"/>
        </w:rPr>
        <w:t xml:space="preserve"> status in </w:t>
      </w:r>
      <w:hyperlink r:id="rId8" w:history="1">
        <w:proofErr w:type="spellStart"/>
        <w:r>
          <w:rPr>
            <w:rStyle w:val="Hyperlink"/>
            <w14:ligatures w14:val="none"/>
          </w:rPr>
          <w:t>EMResource</w:t>
        </w:r>
        <w:proofErr w:type="spellEnd"/>
      </w:hyperlink>
      <w:r>
        <w:rPr>
          <w14:ligatures w14:val="none"/>
        </w:rPr>
        <w:t xml:space="preserve">. Providers must be enrolled in the </w:t>
      </w:r>
      <w:proofErr w:type="spellStart"/>
      <w:r>
        <w:rPr>
          <w14:ligatures w14:val="none"/>
        </w:rPr>
        <w:t>EMResource</w:t>
      </w:r>
      <w:proofErr w:type="spellEnd"/>
      <w:r>
        <w:rPr>
          <w14:ligatures w14:val="none"/>
        </w:rPr>
        <w:t xml:space="preserve"> system and attest to being </w:t>
      </w:r>
      <w:r>
        <w:rPr>
          <w:i/>
          <w:iCs/>
          <w14:ligatures w14:val="none"/>
        </w:rPr>
        <w:t>COVID-19 Ready</w:t>
      </w:r>
      <w:r>
        <w:rPr>
          <w14:ligatures w14:val="none"/>
        </w:rPr>
        <w:t xml:space="preserve"> by entering “yes” in the LTC COVID Ready Facility Status column.</w:t>
      </w:r>
    </w:p>
    <w:p w14:paraId="159B7323" w14:textId="77777777" w:rsidR="007A7F76" w:rsidRDefault="007A7F76" w:rsidP="007A7F7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23FAABF" w14:textId="77777777" w:rsidR="006D29B7" w:rsidRDefault="00A85796"/>
    <w:sectPr w:rsidR="006D2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379"/>
    <w:multiLevelType w:val="hybridMultilevel"/>
    <w:tmpl w:val="CF88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A7CB7"/>
    <w:multiLevelType w:val="hybridMultilevel"/>
    <w:tmpl w:val="AC5E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76"/>
    <w:rsid w:val="001F288B"/>
    <w:rsid w:val="002922C7"/>
    <w:rsid w:val="00326A8B"/>
    <w:rsid w:val="004520A3"/>
    <w:rsid w:val="007A7F76"/>
    <w:rsid w:val="00830087"/>
    <w:rsid w:val="00966F54"/>
    <w:rsid w:val="00995FD8"/>
    <w:rsid w:val="00A0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8B17"/>
  <w15:chartTrackingRefBased/>
  <w15:docId w15:val="{8B3182BE-90E2-439D-9EDC-16023FC0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F7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7F76"/>
    <w:rPr>
      <w:color w:val="3366FF"/>
      <w:u w:val="single"/>
    </w:rPr>
  </w:style>
  <w:style w:type="paragraph" w:customStyle="1" w:styleId="BodyText1">
    <w:name w:val="Body Text1"/>
    <w:rsid w:val="007A7F76"/>
    <w:pPr>
      <w:spacing w:before="120" w:after="0" w:line="360" w:lineRule="auto"/>
    </w:pPr>
    <w:rPr>
      <w:rFonts w:ascii="Arial" w:eastAsia="Times New Roman" w:hAnsi="Arial" w:cs="Arial"/>
      <w:color w:val="000000"/>
      <w:kern w:val="28"/>
      <w:sz w:val="18"/>
      <w:szCs w:val="18"/>
      <w14:ligatures w14:val="standard"/>
      <w14:cntxtAlts/>
    </w:rPr>
  </w:style>
  <w:style w:type="paragraph" w:customStyle="1" w:styleId="Bullets">
    <w:name w:val="Bullets"/>
    <w:basedOn w:val="BodyText1"/>
    <w:rsid w:val="007A7F76"/>
    <w:pPr>
      <w:ind w:left="540" w:hanging="240"/>
    </w:pPr>
  </w:style>
  <w:style w:type="paragraph" w:customStyle="1" w:styleId="Head1">
    <w:name w:val="Head 1"/>
    <w:rsid w:val="007A7F76"/>
    <w:pPr>
      <w:spacing w:after="0" w:line="240" w:lineRule="auto"/>
    </w:pPr>
    <w:rPr>
      <w:rFonts w:ascii="Georgia" w:eastAsia="Times New Roman" w:hAnsi="Georgia" w:cs="Times New Roman"/>
      <w:b/>
      <w:bCs/>
      <w:color w:val="0767AD"/>
      <w:spacing w:val="-4"/>
      <w:kern w:val="28"/>
      <w:sz w:val="36"/>
      <w:szCs w:val="36"/>
      <w14:ligatures w14:val="standard"/>
      <w14:cntxtAlts/>
    </w:rPr>
  </w:style>
  <w:style w:type="paragraph" w:customStyle="1" w:styleId="Subhead2">
    <w:name w:val="Subhead 2"/>
    <w:rsid w:val="007A7F76"/>
    <w:pPr>
      <w:spacing w:before="120" w:after="0" w:line="240" w:lineRule="auto"/>
    </w:pPr>
    <w:rPr>
      <w:rFonts w:ascii="Arial" w:eastAsia="Times New Roman" w:hAnsi="Arial" w:cs="Arial"/>
      <w:b/>
      <w:bCs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95FD8"/>
    <w:pPr>
      <w:ind w:left="720"/>
    </w:pPr>
    <w:rPr>
      <w:rFonts w:ascii="Calibri" w:eastAsiaTheme="minorHAnsi" w:hAnsi="Calibri" w:cs="Calibri"/>
      <w:color w:val="auto"/>
      <w:kern w:val="0"/>
      <w:sz w:val="22"/>
      <w:szCs w:val="22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resource.juvare.com/log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rris.Harrison@fssa.i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resource.juvare.com/login" TargetMode="External"/><Relationship Id="rId5" Type="http://schemas.openxmlformats.org/officeDocument/2006/relationships/hyperlink" Target="https://www.coronavirus.in.gov/2399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Derris</dc:creator>
  <cp:keywords/>
  <dc:description/>
  <cp:lastModifiedBy>Zachary Cattell</cp:lastModifiedBy>
  <cp:revision>2</cp:revision>
  <dcterms:created xsi:type="dcterms:W3CDTF">2021-09-22T00:40:00Z</dcterms:created>
  <dcterms:modified xsi:type="dcterms:W3CDTF">2021-09-22T00:40:00Z</dcterms:modified>
</cp:coreProperties>
</file>