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7EF9" w14:textId="77777777" w:rsidR="007A7F76" w:rsidRDefault="007A7F76" w:rsidP="007A7F76">
      <w:pPr>
        <w:pStyle w:val="Head1"/>
        <w:widowControl w:val="0"/>
        <w:rPr>
          <w:sz w:val="35"/>
          <w:szCs w:val="35"/>
          <w14:ligatures w14:val="none"/>
        </w:rPr>
      </w:pPr>
      <w:r>
        <w:rPr>
          <w:i/>
          <w:iCs/>
          <w:sz w:val="32"/>
          <w:szCs w:val="32"/>
          <w14:ligatures w14:val="none"/>
        </w:rPr>
        <w:t xml:space="preserve">IHCP COVID-19 Response: </w:t>
      </w:r>
      <w:r>
        <w:rPr>
          <w:sz w:val="35"/>
          <w:szCs w:val="35"/>
          <w14:ligatures w14:val="none"/>
        </w:rPr>
        <w:t xml:space="preserve">Reimbursement temporarily increased for </w:t>
      </w:r>
      <w:r>
        <w:rPr>
          <w:i/>
          <w:iCs/>
          <w:sz w:val="35"/>
          <w:szCs w:val="35"/>
          <w14:ligatures w14:val="none"/>
        </w:rPr>
        <w:t>COVID-19 Ready</w:t>
      </w:r>
      <w:r>
        <w:rPr>
          <w:sz w:val="35"/>
          <w:szCs w:val="35"/>
          <w14:ligatures w14:val="none"/>
        </w:rPr>
        <w:t xml:space="preserve"> nursing facilities</w:t>
      </w:r>
    </w:p>
    <w:p w14:paraId="79CDD565" w14:textId="77777777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 xml:space="preserve">In response to the current coronavirus disease 2019 (COVID-19) Delta variant surge and the need to ease the stress on hospitals by ensuring placement options for stable COVID-19 patients who are ready for transfer, the Indiana Health Coverage Programs (IHCP) is implementing a temporary 4% increase in Medicaid reimbursement rates for Indiana nursing facilities that attest to being </w:t>
      </w:r>
      <w:r>
        <w:rPr>
          <w:i/>
          <w:iCs/>
          <w14:ligatures w14:val="none"/>
        </w:rPr>
        <w:t>COVID-19 Ready</w:t>
      </w:r>
      <w:r>
        <w:rPr>
          <w14:ligatures w14:val="none"/>
        </w:rPr>
        <w:t xml:space="preserve"> based on the requirements outlined in this bulletin.</w:t>
      </w:r>
    </w:p>
    <w:p w14:paraId="688073B5" w14:textId="77777777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 xml:space="preserve">Providers that attest to being </w:t>
      </w:r>
      <w:r>
        <w:rPr>
          <w:i/>
          <w:iCs/>
          <w14:ligatures w14:val="none"/>
        </w:rPr>
        <w:t>COVID-19 Ready</w:t>
      </w:r>
      <w:r>
        <w:rPr>
          <w14:ligatures w14:val="none"/>
        </w:rPr>
        <w:t xml:space="preserve"> will also be eligible for a temporary $230 per resident daily add-on for each COVID-19 positive resident.</w:t>
      </w:r>
      <w:r>
        <w:rPr>
          <w:color w:val="333333"/>
          <w14:ligatures w14:val="none"/>
        </w:rPr>
        <w:t xml:space="preserve"> The $230 per resident daily add-on is limited to up to 21 days per resident.</w:t>
      </w:r>
      <w:r>
        <w:rPr>
          <w14:ligatures w14:val="none"/>
        </w:rPr>
        <w:t xml:space="preserve"> </w:t>
      </w:r>
    </w:p>
    <w:p w14:paraId="22E3D5E0" w14:textId="77777777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 xml:space="preserve">A future publication will announce when providers </w:t>
      </w:r>
      <w:proofErr w:type="gramStart"/>
      <w:r>
        <w:rPr>
          <w14:ligatures w14:val="none"/>
        </w:rPr>
        <w:t>will start</w:t>
      </w:r>
      <w:proofErr w:type="gramEnd"/>
      <w:r>
        <w:rPr>
          <w14:ligatures w14:val="none"/>
        </w:rPr>
        <w:t xml:space="preserve"> seeing the additional reimbursement.</w:t>
      </w:r>
    </w:p>
    <w:p w14:paraId="1990B42A" w14:textId="77777777" w:rsidR="007A7F76" w:rsidRDefault="007A7F76" w:rsidP="007A7F76">
      <w:pPr>
        <w:pStyle w:val="Subhead2"/>
        <w:widowControl w:val="0"/>
        <w:rPr>
          <w14:ligatures w14:val="none"/>
        </w:rPr>
      </w:pPr>
      <w:r>
        <w:rPr>
          <w14:ligatures w14:val="none"/>
        </w:rPr>
        <w:t>COVID-19 Ready 4% increase</w:t>
      </w:r>
    </w:p>
    <w:p w14:paraId="5F5C752A" w14:textId="77777777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 xml:space="preserve">To qualify for the temporary 4% rate increase, nursing facilities will need to follow, and attest to the Indiana Department of Health (IDOH) </w:t>
      </w:r>
      <w:r>
        <w:rPr>
          <w:i/>
          <w:iCs/>
          <w14:ligatures w14:val="none"/>
        </w:rPr>
        <w:t>COVID-19 Ready</w:t>
      </w:r>
      <w:r>
        <w:rPr>
          <w14:ligatures w14:val="none"/>
        </w:rPr>
        <w:t xml:space="preserve"> requirements:</w:t>
      </w:r>
    </w:p>
    <w:p w14:paraId="7907B827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 xml:space="preserve">Follow IDOH COVID-19 Long-Term Care (LTC) Standard Operating Procedures and IDOH COVID-19 Infection Prevention (IP) Toolkit, located on the </w:t>
      </w:r>
      <w:hyperlink r:id="rId5" w:history="1">
        <w:r>
          <w:rPr>
            <w:rStyle w:val="Hyperlink"/>
            <w:i/>
            <w:iCs/>
            <w14:ligatures w14:val="none"/>
          </w:rPr>
          <w:t>Professional Resources</w:t>
        </w:r>
      </w:hyperlink>
      <w:r>
        <w:rPr>
          <w14:ligatures w14:val="none"/>
        </w:rPr>
        <w:t xml:space="preserve"> page at coronavirus.in.gov.</w:t>
      </w:r>
    </w:p>
    <w:p w14:paraId="38309F96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>Follow IDOH LTC hospital transfer guidance or have developed a mutually agreed upon plan with local hospitals for admission and readmission of COVID-19 patients.</w:t>
      </w:r>
    </w:p>
    <w:p w14:paraId="3C671B3A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>Follow IDOH, Centers for Medicare &amp; Medicaid Services (CMS), and Centers for Disease Control and Prevention (CDC) communication guidelines.</w:t>
      </w:r>
    </w:p>
    <w:p w14:paraId="5A8C62D3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 xml:space="preserve">Accept COVID-19 new admissions, readmissions and transfers. </w:t>
      </w:r>
    </w:p>
    <w:p w14:paraId="56B821ED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>Share complete COVID-19 status information with transportation providers serving residents.</w:t>
      </w:r>
    </w:p>
    <w:p w14:paraId="70FA62CD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>Follow IDOH, CMS and CDC reporting requirements for new COVID-19 cases and deaths involving residents and staff.</w:t>
      </w:r>
    </w:p>
    <w:p w14:paraId="50AD4D48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 xml:space="preserve">Provide daily updates of COVID-19 bed capacity and changes in admission status (for example, admissions hold) in the </w:t>
      </w:r>
      <w:hyperlink r:id="rId6" w:history="1">
        <w:proofErr w:type="spellStart"/>
        <w:r>
          <w:rPr>
            <w:rStyle w:val="Hyperlink"/>
            <w14:ligatures w14:val="none"/>
          </w:rPr>
          <w:t>EMResource</w:t>
        </w:r>
        <w:proofErr w:type="spellEnd"/>
      </w:hyperlink>
      <w:r>
        <w:rPr>
          <w14:ligatures w14:val="none"/>
        </w:rPr>
        <w:t xml:space="preserve"> system at emresource.juvare.com.</w:t>
      </w:r>
    </w:p>
    <w:p w14:paraId="237A91E8" w14:textId="77777777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>This temporary 4% rate increase will be calculated based on each facility’s standard rates.</w:t>
      </w:r>
    </w:p>
    <w:p w14:paraId="303C4773" w14:textId="77777777" w:rsidR="007A7F76" w:rsidRDefault="007A7F76" w:rsidP="007A7F7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5578AE7" w14:textId="77777777" w:rsidR="007A7F76" w:rsidRDefault="007A7F76" w:rsidP="007A7F76">
      <w:pPr>
        <w:pStyle w:val="Subhead2"/>
        <w:widowControl w:val="0"/>
        <w:rPr>
          <w14:ligatures w14:val="none"/>
        </w:rPr>
      </w:pPr>
      <w:r>
        <w:rPr>
          <w14:ligatures w14:val="none"/>
        </w:rPr>
        <w:t>COVID-19 $230 per resident add-on</w:t>
      </w:r>
    </w:p>
    <w:p w14:paraId="1A78B2A3" w14:textId="77777777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 xml:space="preserve">To qualify for the temporary $230 per patient daily add-on, the facility must complete both of the following requirements: </w:t>
      </w:r>
    </w:p>
    <w:p w14:paraId="2369CE37" w14:textId="77777777" w:rsidR="007A7F76" w:rsidRDefault="007A7F76" w:rsidP="007A7F76">
      <w:pPr>
        <w:pStyle w:val="Bullets"/>
        <w:widowControl w:val="0"/>
        <w:rPr>
          <w:color w:val="333333"/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 xml:space="preserve">Submit an attestation and comply </w:t>
      </w:r>
      <w:r>
        <w:rPr>
          <w:color w:val="333333"/>
          <w14:ligatures w14:val="none"/>
        </w:rPr>
        <w:t xml:space="preserve">with IDOH requirements for a </w:t>
      </w:r>
      <w:r>
        <w:rPr>
          <w:i/>
          <w:iCs/>
          <w:color w:val="333333"/>
          <w14:ligatures w14:val="none"/>
        </w:rPr>
        <w:t>COVID-19 Ready</w:t>
      </w:r>
      <w:r>
        <w:rPr>
          <w:color w:val="333333"/>
          <w14:ligatures w14:val="none"/>
        </w:rPr>
        <w:t xml:space="preserve"> facility (as described in the previous section). </w:t>
      </w:r>
    </w:p>
    <w:p w14:paraId="2D18D3E5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:color w:val="333333"/>
          <w14:ligatures w14:val="none"/>
        </w:rPr>
        <w:t xml:space="preserve">Bill claims </w:t>
      </w:r>
      <w:r>
        <w:rPr>
          <w14:ligatures w14:val="none"/>
        </w:rPr>
        <w:t>for</w:t>
      </w:r>
      <w:r>
        <w:rPr>
          <w:color w:val="333333"/>
          <w14:ligatures w14:val="none"/>
        </w:rPr>
        <w:t xml:space="preserve"> COVID-19 positive residents with the primary diagnosis code of </w:t>
      </w:r>
      <w:r>
        <w:rPr>
          <w14:ligatures w14:val="none"/>
        </w:rPr>
        <w:t xml:space="preserve">U07.1 – </w:t>
      </w:r>
      <w:r>
        <w:rPr>
          <w:i/>
          <w:iCs/>
          <w14:ligatures w14:val="none"/>
        </w:rPr>
        <w:t>COVID-19 positive</w:t>
      </w:r>
      <w:r>
        <w:rPr>
          <w:color w:val="333333"/>
          <w14:ligatures w14:val="none"/>
        </w:rPr>
        <w:t>.</w:t>
      </w:r>
    </w:p>
    <w:p w14:paraId="2C85CFB6" w14:textId="77777777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>Qualified providers will be paid the temporary $230 per resident add-on for the full 21 days from the initial positive diagnosis if the following statements are true:</w:t>
      </w:r>
    </w:p>
    <w:p w14:paraId="247E3297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lastRenderedPageBreak/>
        <w:t>n</w:t>
      </w:r>
      <w:r>
        <w:t> </w:t>
      </w:r>
      <w:r>
        <w:rPr>
          <w14:ligatures w14:val="none"/>
        </w:rPr>
        <w:t xml:space="preserve">The resident is in a </w:t>
      </w:r>
      <w:r>
        <w:rPr>
          <w:i/>
          <w:iCs/>
          <w14:ligatures w14:val="none"/>
        </w:rPr>
        <w:t>COVID-19 Ready</w:t>
      </w:r>
      <w:r>
        <w:rPr>
          <w14:ligatures w14:val="none"/>
        </w:rPr>
        <w:t xml:space="preserve"> facility.</w:t>
      </w:r>
    </w:p>
    <w:p w14:paraId="18678A8C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>The resident is COVID-19 positive between Sept. 20, 2021, and Oct. 16, 2021.</w:t>
      </w:r>
    </w:p>
    <w:p w14:paraId="573ADF78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>Claims had U07.1 as the primary diagnosis.</w:t>
      </w:r>
    </w:p>
    <w:p w14:paraId="089BEACB" w14:textId="77777777" w:rsidR="007A7F76" w:rsidRDefault="007A7F76" w:rsidP="007A7F76">
      <w:pPr>
        <w:pStyle w:val="Bullets"/>
        <w:widowControl w:val="0"/>
        <w:rPr>
          <w:color w:val="333333"/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>The resident was not discharged prior to the 21 days for any reason, including death, transfer to another facility or being sent home.</w:t>
      </w:r>
    </w:p>
    <w:p w14:paraId="608B2C4F" w14:textId="77777777" w:rsidR="007A7F76" w:rsidRDefault="007A7F76" w:rsidP="007A7F76">
      <w:pPr>
        <w:pStyle w:val="Subhead2"/>
        <w:widowControl w:val="0"/>
        <w:rPr>
          <w:sz w:val="22"/>
          <w:szCs w:val="22"/>
          <w14:ligatures w14:val="none"/>
        </w:rPr>
      </w:pPr>
      <w:r>
        <w:rPr>
          <w14:ligatures w14:val="none"/>
        </w:rPr>
        <w:t>Effective dates</w:t>
      </w:r>
    </w:p>
    <w:p w14:paraId="562FC63D" w14:textId="77777777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>The temporary 4% increase is available for qualifying providers for dates of service beginning Sept. 20, 2021, through Oct. 16, 2021.</w:t>
      </w:r>
    </w:p>
    <w:p w14:paraId="01D4EF73" w14:textId="43648134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>The temporary $230 per patient per day add-on is available to qualifying providers for dates of service beginning Sept. 20, 2021, and extending for up to 21 days, for residents that are COVID-19 positive between Sept. 20, 2021, and Oct. 16, 2021.</w:t>
      </w:r>
      <w:r w:rsidR="00995FD8">
        <w:rPr>
          <w14:ligatures w14:val="none"/>
        </w:rPr>
        <w:t xml:space="preserve">  </w:t>
      </w:r>
    </w:p>
    <w:p w14:paraId="0603E41C" w14:textId="77777777" w:rsidR="00830087" w:rsidRDefault="00830087" w:rsidP="00830087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510827A9" w14:textId="5E52C9AE" w:rsidR="00830087" w:rsidRPr="00830087" w:rsidRDefault="00830087" w:rsidP="00830087">
      <w:pPr>
        <w:spacing w:line="360" w:lineRule="auto"/>
        <w:rPr>
          <w:rFonts w:ascii="Arial" w:hAnsi="Arial" w:cs="Arial"/>
          <w:b/>
          <w:bCs/>
          <w:i/>
          <w:iCs/>
          <w:color w:val="auto"/>
          <w:kern w:val="0"/>
          <w:sz w:val="18"/>
          <w:szCs w:val="18"/>
          <w14:ligatures w14:val="none"/>
          <w14:cntxtAlts w14:val="0"/>
        </w:rPr>
      </w:pPr>
      <w:r w:rsidRPr="00830087">
        <w:rPr>
          <w:rFonts w:ascii="Arial" w:hAnsi="Arial" w:cs="Arial"/>
          <w:b/>
          <w:bCs/>
          <w:i/>
          <w:iCs/>
          <w:sz w:val="18"/>
          <w:szCs w:val="18"/>
        </w:rPr>
        <w:t>Providers that attest to being COVID-19 Ready prior to October 1 will receive the add-on effective September 20. Providers who attest October 1st and beyond, will receive the add-on effective with the attestation date.</w:t>
      </w:r>
    </w:p>
    <w:p w14:paraId="60F2C7B9" w14:textId="08E1946F" w:rsidR="007A7F76" w:rsidRDefault="007A7F76" w:rsidP="007A7F76">
      <w:pPr>
        <w:pStyle w:val="Subhead2"/>
        <w:widowControl w:val="0"/>
        <w:rPr>
          <w14:ligatures w14:val="none"/>
        </w:rPr>
      </w:pPr>
      <w:r>
        <w:rPr>
          <w14:ligatures w14:val="none"/>
        </w:rPr>
        <w:t>Attestation process</w:t>
      </w:r>
    </w:p>
    <w:p w14:paraId="5CE4DFD8" w14:textId="77777777" w:rsidR="007A7F76" w:rsidRDefault="007A7F76" w:rsidP="007A7F76">
      <w:pPr>
        <w:pStyle w:val="BodyText1"/>
        <w:widowControl w:val="0"/>
        <w:rPr>
          <w14:ligatures w14:val="none"/>
        </w:rPr>
      </w:pPr>
      <w:r>
        <w:rPr>
          <w14:ligatures w14:val="none"/>
        </w:rPr>
        <w:t xml:space="preserve">Nursing facility providers that are </w:t>
      </w:r>
      <w:r>
        <w:rPr>
          <w:i/>
          <w:iCs/>
          <w14:ligatures w14:val="none"/>
        </w:rPr>
        <w:t>COVID-19 Ready</w:t>
      </w:r>
      <w:r>
        <w:rPr>
          <w14:ligatures w14:val="none"/>
        </w:rPr>
        <w:t xml:space="preserve"> must:</w:t>
      </w:r>
    </w:p>
    <w:p w14:paraId="536C57EE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 xml:space="preserve">Complete and sign the </w:t>
      </w:r>
      <w:r>
        <w:rPr>
          <w:i/>
          <w:iCs/>
          <w14:ligatures w14:val="none"/>
        </w:rPr>
        <w:t>Attestation Statement – COVID-19 Ready Providers</w:t>
      </w:r>
      <w:r>
        <w:rPr>
          <w14:ligatures w14:val="none"/>
        </w:rPr>
        <w:t xml:space="preserve"> located on the Myers and Stauffer website and email it to </w:t>
      </w:r>
      <w:hyperlink r:id="rId7" w:history="1">
        <w:r>
          <w:rPr>
            <w:rStyle w:val="Hyperlink"/>
            <w14:ligatures w14:val="none"/>
          </w:rPr>
          <w:t>Derris.Harrison@fssa.in.gov</w:t>
        </w:r>
      </w:hyperlink>
      <w:r>
        <w:rPr>
          <w14:ligatures w14:val="none"/>
        </w:rPr>
        <w:t>.</w:t>
      </w:r>
    </w:p>
    <w:p w14:paraId="7E7625F7" w14:textId="77777777" w:rsidR="007A7F76" w:rsidRDefault="007A7F76" w:rsidP="007A7F76">
      <w:pPr>
        <w:pStyle w:val="Bullets"/>
        <w:widowControl w:val="0"/>
        <w:rPr>
          <w14:ligatures w14:val="none"/>
        </w:rPr>
      </w:pPr>
      <w:r>
        <w:rPr>
          <w:rFonts w:ascii="Wingdings" w:hAnsi="Wingdings"/>
          <w:sz w:val="17"/>
          <w:szCs w:val="17"/>
          <w:lang w:val="x-none"/>
        </w:rPr>
        <w:t>n</w:t>
      </w:r>
      <w:r>
        <w:t> </w:t>
      </w:r>
      <w:r>
        <w:rPr>
          <w14:ligatures w14:val="none"/>
        </w:rPr>
        <w:t xml:space="preserve">Update their </w:t>
      </w:r>
      <w:r>
        <w:rPr>
          <w:i/>
          <w:iCs/>
          <w14:ligatures w14:val="none"/>
        </w:rPr>
        <w:t>COVID-19 Ready</w:t>
      </w:r>
      <w:r>
        <w:rPr>
          <w14:ligatures w14:val="none"/>
        </w:rPr>
        <w:t xml:space="preserve"> status in </w:t>
      </w:r>
      <w:hyperlink r:id="rId8" w:history="1">
        <w:proofErr w:type="spellStart"/>
        <w:r>
          <w:rPr>
            <w:rStyle w:val="Hyperlink"/>
            <w14:ligatures w14:val="none"/>
          </w:rPr>
          <w:t>EMResource</w:t>
        </w:r>
        <w:proofErr w:type="spellEnd"/>
      </w:hyperlink>
      <w:r>
        <w:rPr>
          <w14:ligatures w14:val="none"/>
        </w:rPr>
        <w:t xml:space="preserve">. Providers must be enrolled in the </w:t>
      </w:r>
      <w:proofErr w:type="spellStart"/>
      <w:r>
        <w:rPr>
          <w14:ligatures w14:val="none"/>
        </w:rPr>
        <w:t>EMResource</w:t>
      </w:r>
      <w:proofErr w:type="spellEnd"/>
      <w:r>
        <w:rPr>
          <w14:ligatures w14:val="none"/>
        </w:rPr>
        <w:t xml:space="preserve"> system and attest to being </w:t>
      </w:r>
      <w:r>
        <w:rPr>
          <w:i/>
          <w:iCs/>
          <w14:ligatures w14:val="none"/>
        </w:rPr>
        <w:t>COVID-19 Ready</w:t>
      </w:r>
      <w:r>
        <w:rPr>
          <w14:ligatures w14:val="none"/>
        </w:rPr>
        <w:t xml:space="preserve"> by entering “yes” in the LTC COVID Ready Facility Status column.</w:t>
      </w:r>
    </w:p>
    <w:p w14:paraId="159B7323" w14:textId="77777777" w:rsidR="007A7F76" w:rsidRDefault="007A7F76" w:rsidP="007A7F7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23FAABF" w14:textId="77777777" w:rsidR="006D29B7" w:rsidRDefault="00A85796"/>
    <w:sectPr w:rsidR="006D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379"/>
    <w:multiLevelType w:val="hybridMultilevel"/>
    <w:tmpl w:val="CF88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A7CB7"/>
    <w:multiLevelType w:val="hybridMultilevel"/>
    <w:tmpl w:val="AC5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76"/>
    <w:rsid w:val="001F288B"/>
    <w:rsid w:val="002922C7"/>
    <w:rsid w:val="00326A8B"/>
    <w:rsid w:val="004520A3"/>
    <w:rsid w:val="007A7F76"/>
    <w:rsid w:val="00830087"/>
    <w:rsid w:val="00966F54"/>
    <w:rsid w:val="00995FD8"/>
    <w:rsid w:val="00A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8B17"/>
  <w15:chartTrackingRefBased/>
  <w15:docId w15:val="{8B3182BE-90E2-439D-9EDC-16023FC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F76"/>
    <w:rPr>
      <w:color w:val="3366FF"/>
      <w:u w:val="single"/>
    </w:rPr>
  </w:style>
  <w:style w:type="paragraph" w:customStyle="1" w:styleId="BodyText1">
    <w:name w:val="Body Text1"/>
    <w:rsid w:val="007A7F76"/>
    <w:pPr>
      <w:spacing w:before="120" w:after="0" w:line="360" w:lineRule="auto"/>
    </w:pPr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BodyText1"/>
    <w:rsid w:val="007A7F76"/>
    <w:pPr>
      <w:ind w:left="540" w:hanging="240"/>
    </w:pPr>
  </w:style>
  <w:style w:type="paragraph" w:customStyle="1" w:styleId="Head1">
    <w:name w:val="Head 1"/>
    <w:rsid w:val="007A7F76"/>
    <w:pPr>
      <w:spacing w:after="0" w:line="240" w:lineRule="auto"/>
    </w:pPr>
    <w:rPr>
      <w:rFonts w:ascii="Georgia" w:eastAsia="Times New Roman" w:hAnsi="Georgia" w:cs="Times New Roman"/>
      <w:b/>
      <w:bCs/>
      <w:color w:val="0767AD"/>
      <w:spacing w:val="-4"/>
      <w:kern w:val="28"/>
      <w:sz w:val="36"/>
      <w:szCs w:val="36"/>
      <w14:ligatures w14:val="standard"/>
      <w14:cntxtAlts/>
    </w:rPr>
  </w:style>
  <w:style w:type="paragraph" w:customStyle="1" w:styleId="Subhead2">
    <w:name w:val="Subhead 2"/>
    <w:rsid w:val="007A7F76"/>
    <w:pPr>
      <w:spacing w:before="120"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95FD8"/>
    <w:pPr>
      <w:ind w:left="72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resource.juvare.com/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ris.Harrison@fss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resource.juvare.com/login" TargetMode="External"/><Relationship Id="rId5" Type="http://schemas.openxmlformats.org/officeDocument/2006/relationships/hyperlink" Target="https://www.coronavirus.in.gov/239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Derris</dc:creator>
  <cp:keywords/>
  <dc:description/>
  <cp:lastModifiedBy>Zachary Cattell</cp:lastModifiedBy>
  <cp:revision>2</cp:revision>
  <dcterms:created xsi:type="dcterms:W3CDTF">2021-09-22T00:40:00Z</dcterms:created>
  <dcterms:modified xsi:type="dcterms:W3CDTF">2021-09-22T00:40:00Z</dcterms:modified>
</cp:coreProperties>
</file>